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DCEB63" w14:textId="77777777" w:rsidR="00472F9C" w:rsidRDefault="003903A4" w:rsidP="000C1CA3">
      <w:pPr>
        <w:pStyle w:val="Title"/>
        <w:jc w:val="center"/>
      </w:pPr>
      <w:r>
        <w:t>CESAR tool assumptions</w:t>
      </w:r>
    </w:p>
    <w:p w14:paraId="73DCEB64" w14:textId="77777777" w:rsidR="005E0842" w:rsidRPr="005E0842" w:rsidRDefault="005E0842" w:rsidP="005E0842"/>
    <w:p w14:paraId="73DCEB65" w14:textId="38548A4D" w:rsidR="006E1927" w:rsidRDefault="005E0842" w:rsidP="005E0842">
      <w:pPr>
        <w:rPr>
          <w:color w:val="000000" w:themeColor="text1"/>
        </w:rPr>
      </w:pPr>
      <w:r w:rsidRPr="000B51A5">
        <w:rPr>
          <w:color w:val="000000" w:themeColor="text1"/>
        </w:rPr>
        <w:t xml:space="preserve">In this document, the </w:t>
      </w:r>
      <w:r w:rsidR="00545891" w:rsidRPr="000B51A5">
        <w:rPr>
          <w:color w:val="000000" w:themeColor="text1"/>
        </w:rPr>
        <w:t xml:space="preserve">calculations </w:t>
      </w:r>
      <w:r w:rsidR="006E1927" w:rsidRPr="000B51A5">
        <w:rPr>
          <w:color w:val="000000" w:themeColor="text1"/>
        </w:rPr>
        <w:t>in the</w:t>
      </w:r>
      <w:r w:rsidR="0072531D" w:rsidRPr="000B51A5">
        <w:rPr>
          <w:color w:val="000000" w:themeColor="text1"/>
        </w:rPr>
        <w:t xml:space="preserve"> CESAR tool (</w:t>
      </w:r>
      <w:proofErr w:type="gramStart"/>
      <w:r w:rsidR="00292211">
        <w:rPr>
          <w:color w:val="000000" w:themeColor="text1"/>
        </w:rPr>
        <w:t>e.g.</w:t>
      </w:r>
      <w:proofErr w:type="gramEnd"/>
      <w:r w:rsidR="00292211">
        <w:rPr>
          <w:color w:val="000000" w:themeColor="text1"/>
        </w:rPr>
        <w:t xml:space="preserve"> the Excel formula) </w:t>
      </w:r>
      <w:r w:rsidR="006E1927" w:rsidRPr="000B51A5">
        <w:rPr>
          <w:color w:val="000000" w:themeColor="text1"/>
        </w:rPr>
        <w:t xml:space="preserve">and the assumptions used </w:t>
      </w:r>
      <w:r w:rsidR="0072531D" w:rsidRPr="000B51A5">
        <w:rPr>
          <w:color w:val="000000" w:themeColor="text1"/>
        </w:rPr>
        <w:t>are presented and explained.</w:t>
      </w:r>
      <w:r w:rsidR="000B51A5" w:rsidRPr="000B51A5">
        <w:rPr>
          <w:color w:val="000000" w:themeColor="text1"/>
        </w:rPr>
        <w:t xml:space="preserve"> Every source used for the CESAR tool can be found in the comments of relevant cells within the Excel spreadsheet</w:t>
      </w:r>
      <w:r w:rsidR="0072531D" w:rsidRPr="000B51A5">
        <w:rPr>
          <w:color w:val="000000" w:themeColor="text1"/>
        </w:rPr>
        <w:t>.</w:t>
      </w:r>
      <w:r w:rsidR="000B51A5" w:rsidRPr="000B51A5">
        <w:rPr>
          <w:color w:val="000000" w:themeColor="text1"/>
        </w:rPr>
        <w:t xml:space="preserve"> However, key sources that are used multiple times are also listed at the end of this document, with links. It is worth m</w:t>
      </w:r>
      <w:r w:rsidR="006E1927" w:rsidRPr="000B51A5">
        <w:rPr>
          <w:color w:val="000000" w:themeColor="text1"/>
        </w:rPr>
        <w:t>ention</w:t>
      </w:r>
      <w:r w:rsidR="000B51A5" w:rsidRPr="000B51A5">
        <w:rPr>
          <w:color w:val="000000" w:themeColor="text1"/>
        </w:rPr>
        <w:t>ing</w:t>
      </w:r>
      <w:r w:rsidR="006E1927" w:rsidRPr="000B51A5">
        <w:rPr>
          <w:color w:val="000000" w:themeColor="text1"/>
        </w:rPr>
        <w:t xml:space="preserve"> that almost all the calculations</w:t>
      </w:r>
      <w:r w:rsidR="00101A2A">
        <w:rPr>
          <w:color w:val="000000" w:themeColor="text1"/>
        </w:rPr>
        <w:t xml:space="preserve"> in the CESAR tool</w:t>
      </w:r>
      <w:r w:rsidR="006E1927" w:rsidRPr="000B51A5">
        <w:rPr>
          <w:color w:val="000000" w:themeColor="text1"/>
        </w:rPr>
        <w:t xml:space="preserve"> </w:t>
      </w:r>
      <w:r w:rsidR="000B51A5" w:rsidRPr="000B51A5">
        <w:rPr>
          <w:color w:val="000000" w:themeColor="text1"/>
        </w:rPr>
        <w:t>involve values that are</w:t>
      </w:r>
      <w:r w:rsidR="006E1927" w:rsidRPr="000B51A5">
        <w:rPr>
          <w:color w:val="000000" w:themeColor="text1"/>
        </w:rPr>
        <w:t xml:space="preserve"> estimates</w:t>
      </w:r>
      <w:r w:rsidR="00A25B62">
        <w:rPr>
          <w:color w:val="000000" w:themeColor="text1"/>
        </w:rPr>
        <w:t xml:space="preserve"> based on the best available data.</w:t>
      </w:r>
      <w:r w:rsidR="00602D9D">
        <w:rPr>
          <w:color w:val="000000" w:themeColor="text1"/>
        </w:rPr>
        <w:t xml:space="preserve"> These estimates can vary slightly between different sources and can evolve slightly year on year.</w:t>
      </w:r>
      <w:r w:rsidR="00A25B62">
        <w:rPr>
          <w:color w:val="000000" w:themeColor="text1"/>
        </w:rPr>
        <w:t xml:space="preserve"> </w:t>
      </w:r>
    </w:p>
    <w:p w14:paraId="73DCEB68" w14:textId="2AA2584D" w:rsidR="001577DA" w:rsidRDefault="001577DA" w:rsidP="001577DA">
      <w:pPr>
        <w:pStyle w:val="Heading1"/>
      </w:pPr>
      <w:bookmarkStart w:id="0" w:name="_Ref86325509"/>
      <w:r>
        <w:t>Electricity &amp; Heat</w:t>
      </w:r>
      <w:bookmarkEnd w:id="0"/>
    </w:p>
    <w:p w14:paraId="73DCEB69" w14:textId="548998E0" w:rsidR="000D5631" w:rsidRDefault="000D5631" w:rsidP="000D5631">
      <w:r>
        <w:t>In this tab, the annual electricity and heat consumption of the community is calculated as well as the potential energy production f</w:t>
      </w:r>
      <w:r w:rsidR="003D3EE3">
        <w:t>rom</w:t>
      </w:r>
      <w:r>
        <w:t xml:space="preserve"> a</w:t>
      </w:r>
      <w:r w:rsidR="004C495A">
        <w:t xml:space="preserve"> non-</w:t>
      </w:r>
      <w:r w:rsidR="007902AC">
        <w:t>exhaustive</w:t>
      </w:r>
      <w:r>
        <w:t xml:space="preserve"> list of renewable sources.</w:t>
      </w:r>
    </w:p>
    <w:p w14:paraId="73DCEB6A" w14:textId="77777777" w:rsidR="000D5631" w:rsidRDefault="000D5631" w:rsidP="000D5631">
      <w:pPr>
        <w:pStyle w:val="Heading2"/>
      </w:pPr>
      <w:r>
        <w:t>Electricity and heat consumption of the community</w:t>
      </w:r>
      <w:r w:rsidR="00D433E8">
        <w:t xml:space="preserve"> (before measures)</w:t>
      </w:r>
    </w:p>
    <w:p w14:paraId="03F2D6A2" w14:textId="77777777" w:rsidR="00292211" w:rsidRDefault="000D5631" w:rsidP="000D5631">
      <w:r>
        <w:t xml:space="preserve">The CESAR tool user enters the local authority in which the community resides in cell B17. </w:t>
      </w:r>
      <w:r w:rsidR="0051141F">
        <w:t xml:space="preserve">This pulls </w:t>
      </w:r>
      <w:r w:rsidR="00292211">
        <w:t>on the following data:</w:t>
      </w:r>
    </w:p>
    <w:p w14:paraId="57030C5C" w14:textId="77777777" w:rsidR="00292211" w:rsidRDefault="00292211" w:rsidP="00292211">
      <w:pPr>
        <w:pStyle w:val="ListParagraph"/>
        <w:numPr>
          <w:ilvl w:val="0"/>
          <w:numId w:val="3"/>
        </w:numPr>
      </w:pPr>
      <w:r>
        <w:t>L</w:t>
      </w:r>
      <w:r w:rsidR="00362C2E">
        <w:t xml:space="preserve">ocal authority area </w:t>
      </w:r>
      <w:r w:rsidR="0051141F">
        <w:t>population</w:t>
      </w:r>
    </w:p>
    <w:p w14:paraId="373C7252" w14:textId="77777777" w:rsidR="00292211" w:rsidRDefault="00292211" w:rsidP="00292211">
      <w:pPr>
        <w:pStyle w:val="ListParagraph"/>
        <w:numPr>
          <w:ilvl w:val="0"/>
          <w:numId w:val="3"/>
        </w:numPr>
      </w:pPr>
      <w:r>
        <w:t>T</w:t>
      </w:r>
      <w:r w:rsidR="001E1AC1">
        <w:t xml:space="preserve">he </w:t>
      </w:r>
      <w:r w:rsidR="0051141F">
        <w:t>number of domestic and non-domestic electricity meters</w:t>
      </w:r>
    </w:p>
    <w:p w14:paraId="14B1D5BF" w14:textId="77777777" w:rsidR="00292211" w:rsidRDefault="00292211" w:rsidP="00292211">
      <w:pPr>
        <w:pStyle w:val="ListParagraph"/>
        <w:numPr>
          <w:ilvl w:val="0"/>
          <w:numId w:val="3"/>
        </w:numPr>
      </w:pPr>
      <w:r>
        <w:t>A</w:t>
      </w:r>
      <w:r w:rsidR="000D5631">
        <w:t xml:space="preserve">verage annual domestic and non-domestic electricity and gas consumption </w:t>
      </w:r>
      <w:r w:rsidR="00362C2E">
        <w:t>per building (connected)</w:t>
      </w:r>
    </w:p>
    <w:p w14:paraId="73DCEB6B" w14:textId="0EEAC639" w:rsidR="000D5631" w:rsidRDefault="00292211" w:rsidP="00292211">
      <w:pPr>
        <w:pStyle w:val="ListParagraph"/>
        <w:numPr>
          <w:ilvl w:val="0"/>
          <w:numId w:val="3"/>
        </w:numPr>
      </w:pPr>
      <w:r>
        <w:t>P</w:t>
      </w:r>
      <w:r w:rsidR="00362C2E">
        <w:t xml:space="preserve">ercentage of households not </w:t>
      </w:r>
      <w:r w:rsidR="00E85FAE">
        <w:t>connected to the gas network.</w:t>
      </w:r>
      <w:r w:rsidR="00362C2E">
        <w:t xml:space="preserve"> </w:t>
      </w:r>
    </w:p>
    <w:p w14:paraId="63C7063B" w14:textId="77777777" w:rsidR="00F05E41" w:rsidRDefault="00760660" w:rsidP="000D5631">
      <w:r>
        <w:t xml:space="preserve">The CESAR tool user then enters the population of the community in cell B28 using the link provided </w:t>
      </w:r>
      <w:r w:rsidR="00F05E41">
        <w:t xml:space="preserve">to the </w:t>
      </w:r>
      <w:hyperlink r:id="rId8" w:history="1">
        <w:r w:rsidR="00F05E41" w:rsidRPr="00F05E41">
          <w:rPr>
            <w:rStyle w:val="Hyperlink"/>
          </w:rPr>
          <w:t>Nomis website</w:t>
        </w:r>
      </w:hyperlink>
      <w:r w:rsidR="00F05E41">
        <w:t xml:space="preserve"> </w:t>
      </w:r>
      <w:r>
        <w:t xml:space="preserve">(this is based on </w:t>
      </w:r>
      <w:r w:rsidR="00292211">
        <w:t xml:space="preserve">the most recent </w:t>
      </w:r>
      <w:r>
        <w:t xml:space="preserve">census data). </w:t>
      </w:r>
    </w:p>
    <w:p w14:paraId="29126BCB" w14:textId="77777777" w:rsidR="00F05E41" w:rsidRDefault="00F713AB" w:rsidP="00F05E41">
      <w:pPr>
        <w:pStyle w:val="ListParagraph"/>
        <w:numPr>
          <w:ilvl w:val="0"/>
          <w:numId w:val="4"/>
        </w:numPr>
      </w:pPr>
      <w:r>
        <w:t xml:space="preserve">The number of domestic and non-domestic buildings in the community area is </w:t>
      </w:r>
      <w:r w:rsidR="00C64F2C">
        <w:t>calculated</w:t>
      </w:r>
      <w:r>
        <w:t xml:space="preserve"> by multiplying the </w:t>
      </w:r>
      <w:r w:rsidR="007902AC">
        <w:t>local authority</w:t>
      </w:r>
      <w:r w:rsidR="00812B2D">
        <w:t xml:space="preserve">/community </w:t>
      </w:r>
      <w:r>
        <w:t>population ratio by the number of domestic and non-domestic electricity meters.</w:t>
      </w:r>
      <w:r w:rsidR="00C64F2C">
        <w:t xml:space="preserve"> </w:t>
      </w:r>
    </w:p>
    <w:p w14:paraId="0F724F80" w14:textId="77777777" w:rsidR="00F05E41" w:rsidRDefault="00C64F2C" w:rsidP="00F05E41">
      <w:pPr>
        <w:pStyle w:val="ListParagraph"/>
        <w:numPr>
          <w:ilvl w:val="0"/>
          <w:numId w:val="4"/>
        </w:numPr>
      </w:pPr>
      <w:r>
        <w:t xml:space="preserve">The annual </w:t>
      </w:r>
      <w:r w:rsidR="007539B1">
        <w:t xml:space="preserve">domestic </w:t>
      </w:r>
      <w:r>
        <w:t xml:space="preserve">electricity consumption of the community is calculated by </w:t>
      </w:r>
      <w:r w:rsidR="007539B1">
        <w:t>multiplying the a</w:t>
      </w:r>
      <w:r w:rsidR="007539B1" w:rsidRPr="007539B1">
        <w:t xml:space="preserve">verage annual electricity consumption per </w:t>
      </w:r>
      <w:r w:rsidR="007539B1">
        <w:t xml:space="preserve">domestic </w:t>
      </w:r>
      <w:r w:rsidR="007539B1" w:rsidRPr="007539B1">
        <w:t>building</w:t>
      </w:r>
      <w:r w:rsidR="007539B1">
        <w:t xml:space="preserve"> in the local authority by the estimated number of domestic buildings in the community area</w:t>
      </w:r>
      <w:r>
        <w:t xml:space="preserve">. </w:t>
      </w:r>
    </w:p>
    <w:p w14:paraId="29007852" w14:textId="77777777" w:rsidR="00F05E41" w:rsidRDefault="007539B1" w:rsidP="00F05E41">
      <w:pPr>
        <w:pStyle w:val="ListParagraph"/>
        <w:numPr>
          <w:ilvl w:val="0"/>
          <w:numId w:val="4"/>
        </w:numPr>
      </w:pPr>
      <w:r>
        <w:t>The annual domestic heat consumption of the community is calculated by multiplying the a</w:t>
      </w:r>
      <w:r w:rsidRPr="007539B1">
        <w:t xml:space="preserve">verage annual domestic </w:t>
      </w:r>
      <w:r>
        <w:t>gas</w:t>
      </w:r>
      <w:r w:rsidRPr="007539B1">
        <w:t xml:space="preserve"> consumption per building</w:t>
      </w:r>
      <w:r>
        <w:t xml:space="preserve"> connected to the gas network in the local authority by the estimated number of domestic buildings in the community area</w:t>
      </w:r>
      <w:r w:rsidR="003F2552">
        <w:t xml:space="preserve"> and </w:t>
      </w:r>
      <w:r w:rsidR="00C64F2C">
        <w:t xml:space="preserve">then multiplying this by the average efficiency of a gas boiler, estimated to be 85%. </w:t>
      </w:r>
    </w:p>
    <w:p w14:paraId="73DCEB6C" w14:textId="2F60A0AA" w:rsidR="0051141F" w:rsidRDefault="004237AC" w:rsidP="00F05E41">
      <w:r>
        <w:t>Note, h</w:t>
      </w:r>
      <w:r w:rsidR="00C64F2C">
        <w:t>eat consumption in the CESAR tool is end-use heat consumption.</w:t>
      </w:r>
      <w:r w:rsidR="003F2552">
        <w:t xml:space="preserve"> The above calculations were replicated for non-domestic buildings and the total electricity and heat consumption of the community is the sum of domestic and non-domestic consumption.</w:t>
      </w:r>
    </w:p>
    <w:p w14:paraId="73DCEB6D" w14:textId="21017994" w:rsidR="007539B1" w:rsidRPr="00634E46" w:rsidRDefault="00CC020C" w:rsidP="000D5631">
      <w:r>
        <w:t>The figure below gives an overview of the consumption calculations.</w:t>
      </w:r>
      <w:r w:rsidR="00F05E41">
        <w:t xml:space="preserve"> </w:t>
      </w:r>
      <w:r w:rsidR="00634E46">
        <w:t xml:space="preserve">The buildings connected to the gas network have been used to calculate the heat </w:t>
      </w:r>
      <w:r>
        <w:t xml:space="preserve">(end-use) </w:t>
      </w:r>
      <w:r w:rsidR="00634E46">
        <w:t xml:space="preserve">consumption of </w:t>
      </w:r>
      <w:r w:rsidR="00634E46" w:rsidRPr="00634E46">
        <w:rPr>
          <w:i/>
        </w:rPr>
        <w:t>all</w:t>
      </w:r>
      <w:r w:rsidR="00634E46">
        <w:t xml:space="preserve"> the buildings in the community, even those not connected to the gas network</w:t>
      </w:r>
      <w:r>
        <w:t>, such as those heated with solid fuels, oil, or electricity</w:t>
      </w:r>
      <w:r w:rsidR="00634E46">
        <w:t>. The assumption is that these buildings will have similar end-use heat requirements (on average) as homes heated with gas central heating.</w:t>
      </w:r>
      <w:r>
        <w:t xml:space="preserve"> One of the slight issues is that electricity </w:t>
      </w:r>
      <w:r>
        <w:lastRenderedPageBreak/>
        <w:t>consumption for heating has not been separated fro</w:t>
      </w:r>
      <w:r w:rsidR="008E249E">
        <w:t xml:space="preserve">m non-heating electricity consumption in the </w:t>
      </w:r>
      <w:r w:rsidR="007E6AE9">
        <w:t>data used</w:t>
      </w:r>
      <w:r>
        <w:t>. Therefore, the community energy consumption may be a slight</w:t>
      </w:r>
      <w:r w:rsidR="007E6AE9">
        <w:t xml:space="preserve"> overestimation.</w:t>
      </w:r>
    </w:p>
    <w:p w14:paraId="73DCEB6E" w14:textId="77777777" w:rsidR="0051141F" w:rsidRDefault="0051141F" w:rsidP="0051141F">
      <w:r>
        <w:t>Here is a summary of the assumptions used in the above calculations:</w:t>
      </w:r>
    </w:p>
    <w:p w14:paraId="73DCEB6F" w14:textId="46343031" w:rsidR="0051141F" w:rsidRDefault="0051141F" w:rsidP="0051141F">
      <w:pPr>
        <w:pStyle w:val="ListParagraph"/>
        <w:numPr>
          <w:ilvl w:val="0"/>
          <w:numId w:val="2"/>
        </w:numPr>
      </w:pPr>
      <w:r>
        <w:t xml:space="preserve">The community area </w:t>
      </w:r>
      <w:r w:rsidR="00110205">
        <w:t>has a similar electricity and gas consumption pattern</w:t>
      </w:r>
      <w:r>
        <w:t xml:space="preserve"> to the entire local authority area. This will not be true in a lot of cases but there isn’t the same sort of data available at Parish level</w:t>
      </w:r>
      <w:r w:rsidR="00F05E41">
        <w:t>. Therefore, l</w:t>
      </w:r>
      <w:r>
        <w:t>ocal authority level is used to offer a slight improvement on simply using UK-wide averages.</w:t>
      </w:r>
    </w:p>
    <w:p w14:paraId="73DCEB70" w14:textId="77777777" w:rsidR="00760660" w:rsidRDefault="00760660" w:rsidP="0051141F">
      <w:pPr>
        <w:pStyle w:val="ListParagraph"/>
        <w:numPr>
          <w:ilvl w:val="0"/>
          <w:numId w:val="2"/>
        </w:numPr>
      </w:pPr>
      <w:r>
        <w:t>The number of domestic and non-domestic buildings is equal to the number of domestic and non-domestic electricity meters, respectively</w:t>
      </w:r>
      <w:r w:rsidR="00110205">
        <w:t>.</w:t>
      </w:r>
    </w:p>
    <w:p w14:paraId="73DCEB71" w14:textId="5B299E44" w:rsidR="00F713AB" w:rsidRDefault="00F713AB" w:rsidP="0051141F">
      <w:pPr>
        <w:pStyle w:val="ListParagraph"/>
        <w:numPr>
          <w:ilvl w:val="0"/>
          <w:numId w:val="2"/>
        </w:numPr>
      </w:pPr>
      <w:r>
        <w:t xml:space="preserve">Homes not connected to the gas network </w:t>
      </w:r>
      <w:r w:rsidR="00110205">
        <w:t xml:space="preserve">have </w:t>
      </w:r>
      <w:r w:rsidR="00634E46">
        <w:t>similar</w:t>
      </w:r>
      <w:r w:rsidR="00110205">
        <w:t xml:space="preserve"> end-use heat consumption (on average) as homes with gas central heating</w:t>
      </w:r>
      <w:r w:rsidR="00F05E41">
        <w:t>.</w:t>
      </w:r>
    </w:p>
    <w:p w14:paraId="5D947BE0" w14:textId="66A98811" w:rsidR="008270FC" w:rsidRDefault="00FF28F8" w:rsidP="008270FC">
      <w:pPr>
        <w:pStyle w:val="ListParagraph"/>
        <w:numPr>
          <w:ilvl w:val="0"/>
          <w:numId w:val="2"/>
        </w:numPr>
      </w:pPr>
      <w:r>
        <w:t>The average efficiency of a gas boiler is 85%</w:t>
      </w:r>
      <w:r w:rsidR="00F05E41">
        <w:t>.</w:t>
      </w:r>
    </w:p>
    <w:p w14:paraId="5F36C973" w14:textId="77777777" w:rsidR="008270FC" w:rsidRDefault="008270FC" w:rsidP="008270FC"/>
    <w:p w14:paraId="73DCEB73" w14:textId="77777777" w:rsidR="00C64F2C" w:rsidRPr="000D5631" w:rsidRDefault="00CC020C" w:rsidP="00C64F2C">
      <w:r>
        <w:rPr>
          <w:noProof/>
          <w:lang w:eastAsia="en-GB"/>
        </w:rPr>
        <w:drawing>
          <wp:inline distT="0" distB="0" distL="0" distR="0" wp14:anchorId="73DCEBB0" wp14:editId="73DCEBB1">
            <wp:extent cx="5801995" cy="1652599"/>
            <wp:effectExtent l="0" t="0" r="8255"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51392" cy="1666669"/>
                    </a:xfrm>
                    <a:prstGeom prst="rect">
                      <a:avLst/>
                    </a:prstGeom>
                    <a:noFill/>
                  </pic:spPr>
                </pic:pic>
              </a:graphicData>
            </a:graphic>
          </wp:inline>
        </w:drawing>
      </w:r>
    </w:p>
    <w:p w14:paraId="248365FA" w14:textId="77777777" w:rsidR="008270FC" w:rsidRDefault="008270FC" w:rsidP="00411F99"/>
    <w:p w14:paraId="73DCEB74" w14:textId="164D09F3" w:rsidR="000D5631" w:rsidRDefault="000D5631" w:rsidP="000D5631">
      <w:pPr>
        <w:pStyle w:val="Heading2"/>
      </w:pPr>
      <w:r>
        <w:t>Renewable energy</w:t>
      </w:r>
    </w:p>
    <w:p w14:paraId="73DCEB75" w14:textId="6E32432A" w:rsidR="005E698F" w:rsidRDefault="001154FC" w:rsidP="005E698F">
      <w:r>
        <w:t>The annual electricity supplied by each elect</w:t>
      </w:r>
      <w:r w:rsidR="00382D75">
        <w:t>ricity generation technology</w:t>
      </w:r>
      <w:r w:rsidR="00156442">
        <w:t xml:space="preserve"> (blue rows in “Electricity &amp; Heat”</w:t>
      </w:r>
      <w:r w:rsidR="00636B38">
        <w:t>)</w:t>
      </w:r>
      <w:r w:rsidR="00382D75">
        <w:t xml:space="preserve"> is</w:t>
      </w:r>
      <w:r>
        <w:t xml:space="preserve"> calculated by multiplying </w:t>
      </w:r>
      <w:r w:rsidR="00C939F7">
        <w:t xml:space="preserve">together </w:t>
      </w:r>
      <w:r>
        <w:t>the capacity rating, capacity factor, and number of hours in a yea</w:t>
      </w:r>
      <w:r w:rsidR="00C939F7">
        <w:t>r</w:t>
      </w:r>
      <w:r>
        <w:t>.</w:t>
      </w:r>
      <w:r w:rsidR="00382D75">
        <w:t xml:space="preserve"> The annual heat supplied by the three technologies that could be used for a </w:t>
      </w:r>
      <w:r w:rsidR="007D2EF8">
        <w:t>100-home</w:t>
      </w:r>
      <w:r w:rsidR="00382D75">
        <w:t xml:space="preserve"> district heat network</w:t>
      </w:r>
      <w:r w:rsidR="00CD5558">
        <w:t xml:space="preserve"> (C</w:t>
      </w:r>
      <w:r w:rsidR="00F05E41">
        <w:t xml:space="preserve">ombined Heat &amp; Power [CHP] </w:t>
      </w:r>
      <w:r w:rsidR="00CD5558">
        <w:t xml:space="preserve">anaerobic digestion, </w:t>
      </w:r>
      <w:r w:rsidR="00F05E41">
        <w:t>CHP</w:t>
      </w:r>
      <w:r w:rsidR="00CD5558">
        <w:t xml:space="preserve"> geothermal, and water source heat pump)</w:t>
      </w:r>
      <w:r w:rsidR="00382D75">
        <w:t xml:space="preserve"> is equal to the average annual heat consumption per domestic building </w:t>
      </w:r>
      <w:r w:rsidR="00CD5558">
        <w:t xml:space="preserve">(cell B35) </w:t>
      </w:r>
      <w:r w:rsidR="00382D75">
        <w:t xml:space="preserve">multiplied by 100. The annual heat supplied </w:t>
      </w:r>
      <w:r w:rsidR="00CD5558">
        <w:t>by the two domestic scale heat pumps (air source and ground source) is equal to the average annual heat consumption per domestic building. Solar thermal technology is assumed to supply half of the domestic hot water, which is roughly 1/8 of the average annual heat consumption per domestic building.</w:t>
      </w:r>
    </w:p>
    <w:p w14:paraId="2EE37CF1" w14:textId="77293C45" w:rsidR="00871FA7" w:rsidRDefault="00F256C9" w:rsidP="005E698F">
      <w:r>
        <w:t xml:space="preserve">There are two technologies that supply electricity and heat: CHP anaerobic digestion and CHP geothermal. </w:t>
      </w:r>
      <w:r w:rsidR="000431BB">
        <w:t xml:space="preserve">The amount of heat supplied by these technologies was explained in the previous paragraph. The amount of electricity supplied is assumed to be the same as the heat supplied. The capacity rating </w:t>
      </w:r>
      <w:r w:rsidR="000F2D78">
        <w:t xml:space="preserve">is given in terms of </w:t>
      </w:r>
      <w:proofErr w:type="spellStart"/>
      <w:r w:rsidR="000F2D78">
        <w:t>kWe</w:t>
      </w:r>
      <w:proofErr w:type="spellEnd"/>
      <w:r w:rsidR="000F2D78">
        <w:t xml:space="preserve"> </w:t>
      </w:r>
      <w:r w:rsidR="000F2D78" w:rsidRPr="000F2D78">
        <w:rPr>
          <w:i/>
          <w:iCs/>
        </w:rPr>
        <w:t>not</w:t>
      </w:r>
      <w:r w:rsidR="000F2D78">
        <w:t xml:space="preserve"> </w:t>
      </w:r>
      <w:proofErr w:type="spellStart"/>
      <w:r w:rsidR="000F2D78">
        <w:t>kWth</w:t>
      </w:r>
      <w:proofErr w:type="spellEnd"/>
      <w:r w:rsidR="000F2D78">
        <w:t xml:space="preserve"> and </w:t>
      </w:r>
      <w:r w:rsidR="000431BB">
        <w:t xml:space="preserve">is calculated using the </w:t>
      </w:r>
      <w:r w:rsidR="00663AF1">
        <w:t xml:space="preserve">annual </w:t>
      </w:r>
      <w:r w:rsidR="000431BB">
        <w:t>electricity supplied and the capacity factor.</w:t>
      </w:r>
    </w:p>
    <w:p w14:paraId="73DCEB77" w14:textId="77777777" w:rsidR="00D433E8" w:rsidRDefault="00D433E8" w:rsidP="00D433E8">
      <w:pPr>
        <w:pStyle w:val="Heading2"/>
      </w:pPr>
      <w:r>
        <w:t>Electricity and heat consumption of the community (after measures)</w:t>
      </w:r>
    </w:p>
    <w:p w14:paraId="73DCEB78" w14:textId="20F430E7" w:rsidR="00D433E8" w:rsidRDefault="00532BDC" w:rsidP="005E698F">
      <w:r>
        <w:t xml:space="preserve">The electricity consumption of the community increases if heat pumps </w:t>
      </w:r>
      <w:r w:rsidR="00944C4F">
        <w:t xml:space="preserve">are </w:t>
      </w:r>
      <w:r>
        <w:t>chosen</w:t>
      </w:r>
      <w:r w:rsidR="00D20D14">
        <w:t xml:space="preserve"> in the “</w:t>
      </w:r>
      <w:r w:rsidR="00F05E41">
        <w:t>CESAR card selection exercise</w:t>
      </w:r>
      <w:r w:rsidR="00D20D14">
        <w:t>”</w:t>
      </w:r>
      <w:r>
        <w:t xml:space="preserve"> because th</w:t>
      </w:r>
      <w:r w:rsidR="00F05E41">
        <w:t>is</w:t>
      </w:r>
      <w:r>
        <w:t xml:space="preserve"> technolog</w:t>
      </w:r>
      <w:r w:rsidR="00F05E41">
        <w:t>y</w:t>
      </w:r>
      <w:r>
        <w:t xml:space="preserve"> require electricity to operate. The electricity consumption of heat pumps is calculated by dividing their total heat output by their seasonal </w:t>
      </w:r>
      <w:r>
        <w:lastRenderedPageBreak/>
        <w:t>performance factors: 2.6 for an air-source heat pump, 2.9 for a ground-source heat pump, and 3.5 for a water-source heat pump.</w:t>
      </w:r>
    </w:p>
    <w:p w14:paraId="73DCEB7A" w14:textId="77777777" w:rsidR="00312F9D" w:rsidRDefault="00312F9D" w:rsidP="00312F9D">
      <w:pPr>
        <w:pStyle w:val="Heading2"/>
      </w:pPr>
      <w:r>
        <w:t>CO</w:t>
      </w:r>
      <w:r w:rsidRPr="00312F9D">
        <w:rPr>
          <w:vertAlign w:val="subscript"/>
        </w:rPr>
        <w:t>2</w:t>
      </w:r>
      <w:r>
        <w:t>e emissions calculations</w:t>
      </w:r>
    </w:p>
    <w:p w14:paraId="73DCEB7B" w14:textId="60727D01" w:rsidR="00F256C9" w:rsidRDefault="00511577" w:rsidP="00F256C9">
      <w:r>
        <w:t>The CO</w:t>
      </w:r>
      <w:r w:rsidRPr="00511577">
        <w:rPr>
          <w:vertAlign w:val="subscript"/>
        </w:rPr>
        <w:t>2</w:t>
      </w:r>
      <w:r>
        <w:t>e emissions from electricity before any measures are chosen is calculated by multiplying the community electricity consumption (domestic + non-domestic) by the carbon intensity of the electricity grid</w:t>
      </w:r>
      <w:r w:rsidR="00D433E8">
        <w:t xml:space="preserve"> in 2020</w:t>
      </w:r>
      <w:r>
        <w:t>. After the measures are chosen</w:t>
      </w:r>
      <w:r w:rsidR="003B0355">
        <w:t xml:space="preserve"> in </w:t>
      </w:r>
      <w:r w:rsidR="00F05E41">
        <w:t>“CESAR card selection exercise”</w:t>
      </w:r>
      <w:r w:rsidR="00F05E41">
        <w:t xml:space="preserve">, </w:t>
      </w:r>
      <w:r w:rsidR="00D433E8">
        <w:t>the electricity required from the grid is equal to the consumption</w:t>
      </w:r>
      <w:r w:rsidR="00515FEC">
        <w:t xml:space="preserve"> (which </w:t>
      </w:r>
      <w:r w:rsidR="002B4E3B">
        <w:t>might</w:t>
      </w:r>
      <w:r w:rsidR="00515FEC">
        <w:t xml:space="preserve"> </w:t>
      </w:r>
      <w:r w:rsidR="002B4E3B">
        <w:t>have increased</w:t>
      </w:r>
      <w:r w:rsidR="00AB7569">
        <w:t xml:space="preserve"> due to heat pumps)</w:t>
      </w:r>
      <w:r w:rsidR="00D433E8">
        <w:t xml:space="preserve"> minus the local generation. The CO</w:t>
      </w:r>
      <w:r w:rsidR="00D433E8" w:rsidRPr="00D433E8">
        <w:rPr>
          <w:vertAlign w:val="subscript"/>
        </w:rPr>
        <w:t>2</w:t>
      </w:r>
      <w:r w:rsidR="00D433E8">
        <w:t>e emissions are calculated by multiplying the electricity required from the grid by the carbon intensity. The local genera</w:t>
      </w:r>
      <w:r w:rsidR="00F60DF6">
        <w:t>tion is net-zero carbon.</w:t>
      </w:r>
    </w:p>
    <w:p w14:paraId="73DCEB7C" w14:textId="6DF6C12A" w:rsidR="00F60DF6" w:rsidRDefault="00F60DF6" w:rsidP="00F256C9">
      <w:r>
        <w:t>The CO</w:t>
      </w:r>
      <w:r w:rsidRPr="00511577">
        <w:rPr>
          <w:vertAlign w:val="subscript"/>
        </w:rPr>
        <w:t>2</w:t>
      </w:r>
      <w:r>
        <w:t xml:space="preserve">e emissions from </w:t>
      </w:r>
      <w:r w:rsidR="007F63D5">
        <w:t xml:space="preserve">heat before any measures are chosen is calculated by </w:t>
      </w:r>
      <w:r w:rsidR="00492B62">
        <w:t>dividing</w:t>
      </w:r>
      <w:r w:rsidR="007F63D5">
        <w:t xml:space="preserve"> the community heat consumption</w:t>
      </w:r>
      <w:r w:rsidR="00492B62">
        <w:t xml:space="preserve"> by the average efficiency of a gas boiler</w:t>
      </w:r>
      <w:r w:rsidR="000E5CC9">
        <w:t xml:space="preserve"> (to get the gas fuel consumption) and then multiplying this by </w:t>
      </w:r>
      <w:r w:rsidR="00995F99">
        <w:t>the kg CO</w:t>
      </w:r>
      <w:r w:rsidR="00995F99" w:rsidRPr="00995F99">
        <w:rPr>
          <w:vertAlign w:val="subscript"/>
        </w:rPr>
        <w:t>2</w:t>
      </w:r>
      <w:r w:rsidR="00995F99">
        <w:t>e/kWh conversion</w:t>
      </w:r>
      <w:r w:rsidR="00690218">
        <w:t xml:space="preserve"> factor</w:t>
      </w:r>
      <w:r w:rsidR="00995F99">
        <w:t xml:space="preserve"> for gas.</w:t>
      </w:r>
      <w:r w:rsidR="003B0355">
        <w:t xml:space="preserve"> After the measures are chosen in </w:t>
      </w:r>
      <w:r w:rsidR="00F05E41">
        <w:t>“CESAR card selection exercise”</w:t>
      </w:r>
      <w:r w:rsidR="00F05E41">
        <w:t xml:space="preserve">, </w:t>
      </w:r>
      <w:r w:rsidR="00F85F36">
        <w:t>the gas required from the grid is equal to the heat consumption</w:t>
      </w:r>
      <w:r w:rsidR="000C1CA3">
        <w:t xml:space="preserve"> </w:t>
      </w:r>
      <w:r w:rsidR="00F85F36">
        <w:t xml:space="preserve">minus the local </w:t>
      </w:r>
      <w:r w:rsidR="00A22C30">
        <w:t xml:space="preserve">heat </w:t>
      </w:r>
      <w:r w:rsidR="00F85F36">
        <w:t>generation, divided by the average efficiency of a</w:t>
      </w:r>
      <w:r w:rsidR="00A22C30">
        <w:t xml:space="preserve"> gas boiler.</w:t>
      </w:r>
      <w:r w:rsidR="00AB7569">
        <w:t xml:space="preserve"> The CO</w:t>
      </w:r>
      <w:r w:rsidR="00AB7569" w:rsidRPr="00AB7569">
        <w:rPr>
          <w:vertAlign w:val="subscript"/>
        </w:rPr>
        <w:t>2</w:t>
      </w:r>
      <w:r w:rsidR="00AB7569">
        <w:t>e emissions from this gas is calculated using the kg CO</w:t>
      </w:r>
      <w:r w:rsidR="00AB7569" w:rsidRPr="00995F99">
        <w:rPr>
          <w:vertAlign w:val="subscript"/>
        </w:rPr>
        <w:t>2</w:t>
      </w:r>
      <w:r w:rsidR="00AB7569">
        <w:t>e/kWh conversion factor for gas.</w:t>
      </w:r>
    </w:p>
    <w:p w14:paraId="5EEE75AC" w14:textId="706951BB" w:rsidR="00C64D33" w:rsidRDefault="0006751D" w:rsidP="00F256C9">
      <w:r>
        <w:t>The CO</w:t>
      </w:r>
      <w:r w:rsidRPr="0006751D">
        <w:rPr>
          <w:vertAlign w:val="subscript"/>
        </w:rPr>
        <w:t>2</w:t>
      </w:r>
      <w:r>
        <w:t>e emissions from heat</w:t>
      </w:r>
      <w:r w:rsidR="001571D0">
        <w:t>, explained above, will not be as accurate for communities where the percentage of ho</w:t>
      </w:r>
      <w:r w:rsidR="007C0F02">
        <w:t xml:space="preserve">useholds not connected to the gas network is high. These households will use electricity, solid fuels, or </w:t>
      </w:r>
      <w:r w:rsidR="00E96289">
        <w:t>burning oil</w:t>
      </w:r>
      <w:r w:rsidR="00786C14">
        <w:t xml:space="preserve"> as the fuel for heat. </w:t>
      </w:r>
      <w:r w:rsidR="005427BF">
        <w:t xml:space="preserve">Assuming 100% efficiency for electric </w:t>
      </w:r>
      <w:r w:rsidR="00F26067">
        <w:t>resistance heaters, the kg CO</w:t>
      </w:r>
      <w:r w:rsidR="00F26067" w:rsidRPr="00995F99">
        <w:rPr>
          <w:vertAlign w:val="subscript"/>
        </w:rPr>
        <w:t>2</w:t>
      </w:r>
      <w:r w:rsidR="00F26067">
        <w:t xml:space="preserve">e/kWh of end-use heat is similar for gas and electric (at the current grid carbon intensity). </w:t>
      </w:r>
      <w:r w:rsidR="00E47356">
        <w:t>However, the</w:t>
      </w:r>
      <w:r w:rsidR="00E47356" w:rsidRPr="00E47356">
        <w:t xml:space="preserve"> kg CO2e/kWh of end-use heat</w:t>
      </w:r>
      <w:r w:rsidR="00E47356">
        <w:t xml:space="preserve"> for coal and burning oil is significantly higher than gas.</w:t>
      </w:r>
      <w:r w:rsidR="007D2DDB">
        <w:t xml:space="preserve"> For this reason, the estimated CO</w:t>
      </w:r>
      <w:r w:rsidR="007D2DDB" w:rsidRPr="007D2DDB">
        <w:rPr>
          <w:vertAlign w:val="subscript"/>
        </w:rPr>
        <w:t>2</w:t>
      </w:r>
      <w:r w:rsidR="007D2DDB">
        <w:t>e emissions of the community for heating is likely to be an underestimate f</w:t>
      </w:r>
      <w:r w:rsidR="009A7411">
        <w:t>or more off-gas grid communities.</w:t>
      </w:r>
    </w:p>
    <w:p w14:paraId="2262D909" w14:textId="61383D4D" w:rsidR="000E6EDB" w:rsidRDefault="000C1CA3" w:rsidP="000E6EDB">
      <w:pPr>
        <w:pStyle w:val="Heading1"/>
      </w:pPr>
      <w:r>
        <w:t>Photovoltaic (</w:t>
      </w:r>
      <w:r w:rsidR="000E6EDB">
        <w:t>PV</w:t>
      </w:r>
      <w:r>
        <w:t>)</w:t>
      </w:r>
      <w:r w:rsidR="000E6EDB">
        <w:t xml:space="preserve"> &amp; battery</w:t>
      </w:r>
    </w:p>
    <w:p w14:paraId="202D397B" w14:textId="750494E3" w:rsidR="000E6EDB" w:rsidRDefault="00D31A80" w:rsidP="000E6EDB">
      <w:r>
        <w:t>In this tab</w:t>
      </w:r>
      <w:r w:rsidR="00085419" w:rsidRPr="00085419">
        <w:t xml:space="preserve"> we estimate the size and cost of a battery (community scale </w:t>
      </w:r>
      <w:r w:rsidR="004F2AF5">
        <w:t>or</w:t>
      </w:r>
      <w:r w:rsidR="00085419" w:rsidRPr="00085419">
        <w:t xml:space="preserve"> domestic scale) needed to ensure that no domestic solar PV generation is wasted. The total domestic solar PV generation in the community on a July day is estimated by scaling down the average national solar PV generation in July 2019 (based on the capacity ratio</w:t>
      </w:r>
      <w:r w:rsidR="00B658E5">
        <w:t>: cell J</w:t>
      </w:r>
      <w:r w:rsidR="008F1D4D">
        <w:t>7 divided by cell J5</w:t>
      </w:r>
      <w:r w:rsidR="00085419" w:rsidRPr="00085419">
        <w:t>). The demand profile of homes with solar PV in the community is estimated by scaling down the average daily national demand in July 2019 (based on the consumption ratio: cell J11 divided by cell J10). We then calculate the potential wasted solar and use this to size the total power and energy capacity of a community scale battery. We also use the number of solar PV installations (assuming this is the same as the number of homes with solar PV) to size the power and energy capacity of individual domestic scale batteries in each home with solar PV. In these homes, solar PV meets the electricity demand where it can. If the solar PV generation is lower than demand, then it is assumed that the home gets electricity from other local generation or the National Grid. If solar PV is greater than the demand of the home, then the domestic battery stores the excess energy. The costs are upfront installation costs of the battery and calculated based on £/kWh. Note, in this analysis we do not consider the storage required for ground mounted PV (solar farms).</w:t>
      </w:r>
    </w:p>
    <w:p w14:paraId="3E4850E3" w14:textId="7363C96A" w:rsidR="008B3B2A" w:rsidRPr="000E6EDB" w:rsidRDefault="00CA6B40" w:rsidP="000E6EDB">
      <w:r>
        <w:t>For cost estimates, the battery chemistry used is lithium-ion.</w:t>
      </w:r>
      <w:r w:rsidR="00C910A5">
        <w:t xml:space="preserve"> </w:t>
      </w:r>
      <w:r w:rsidR="00D0355E">
        <w:t>The cost for the community scale battery</w:t>
      </w:r>
      <w:r w:rsidR="00EA430A">
        <w:t xml:space="preserve"> may be an </w:t>
      </w:r>
      <w:r w:rsidR="00012A59">
        <w:t xml:space="preserve">overestimate because the cost per kWh used was for a </w:t>
      </w:r>
      <w:proofErr w:type="gramStart"/>
      <w:r w:rsidR="003D1D0F">
        <w:t>40 kWh</w:t>
      </w:r>
      <w:proofErr w:type="gramEnd"/>
      <w:r w:rsidR="003D1D0F">
        <w:t xml:space="preserve"> battery, which is</w:t>
      </w:r>
      <w:r w:rsidR="007D3CCD">
        <w:t xml:space="preserve"> much </w:t>
      </w:r>
      <w:r w:rsidR="003D1D0F">
        <w:t xml:space="preserve">smaller than </w:t>
      </w:r>
      <w:r w:rsidR="00741D02">
        <w:t xml:space="preserve">the community scale </w:t>
      </w:r>
      <w:r w:rsidR="007D3CCD">
        <w:t>battery size estimates.</w:t>
      </w:r>
    </w:p>
    <w:p w14:paraId="73DCEBA0" w14:textId="77777777" w:rsidR="00282A95" w:rsidRDefault="00282A95" w:rsidP="00282A95">
      <w:pPr>
        <w:pStyle w:val="Heading1"/>
      </w:pPr>
      <w:r>
        <w:lastRenderedPageBreak/>
        <w:t>Key sources</w:t>
      </w:r>
    </w:p>
    <w:p w14:paraId="73DCEBA1" w14:textId="77777777" w:rsidR="00D16FDA" w:rsidRPr="00D16FDA" w:rsidRDefault="005F4882" w:rsidP="00D16FDA">
      <w:r>
        <w:t xml:space="preserve">Many sources were used for estimates of certain values in the CESAR tool, and all of them are referenced in the comment of the relevant cell. </w:t>
      </w:r>
      <w:r w:rsidR="00D16FDA">
        <w:t>Here is a list of the key sources</w:t>
      </w:r>
      <w:r w:rsidR="00B046E1">
        <w:t xml:space="preserve"> that were used multiple times, all of which are published by the UK Government.</w:t>
      </w:r>
    </w:p>
    <w:p w14:paraId="73DCEBA2" w14:textId="77777777" w:rsidR="00282A95" w:rsidRPr="00D4517E" w:rsidRDefault="00D16FDA" w:rsidP="00282A95">
      <w:pPr>
        <w:rPr>
          <w:b/>
        </w:rPr>
      </w:pPr>
      <w:r w:rsidRPr="00D4517E">
        <w:rPr>
          <w:b/>
        </w:rPr>
        <w:t>GHG Conversion Factors for Company Reporting</w:t>
      </w:r>
    </w:p>
    <w:p w14:paraId="73DCEBA3" w14:textId="77777777" w:rsidR="00D16FDA" w:rsidRDefault="00C66BAC" w:rsidP="00282A95">
      <w:hyperlink r:id="rId10" w:history="1">
        <w:r w:rsidR="00D16FDA" w:rsidRPr="00D16FDA">
          <w:rPr>
            <w:rStyle w:val="Hyperlink"/>
          </w:rPr>
          <w:t>https://www.gov.uk/government/collections/government-conversion-factors-for-company-reporting</w:t>
        </w:r>
      </w:hyperlink>
    </w:p>
    <w:p w14:paraId="73DCEBA6" w14:textId="77777777" w:rsidR="00B046E1" w:rsidRPr="00B046E1" w:rsidRDefault="00B046E1" w:rsidP="00282A95">
      <w:pPr>
        <w:rPr>
          <w:b/>
        </w:rPr>
      </w:pPr>
      <w:r w:rsidRPr="00B046E1">
        <w:rPr>
          <w:b/>
        </w:rPr>
        <w:t>BEIS Electricity Generation Costs</w:t>
      </w:r>
    </w:p>
    <w:p w14:paraId="73DCEBA7" w14:textId="77777777" w:rsidR="00B046E1" w:rsidRDefault="00C66BAC" w:rsidP="00282A95">
      <w:hyperlink r:id="rId11" w:history="1">
        <w:r w:rsidR="00B046E1" w:rsidRPr="00B046E1">
          <w:rPr>
            <w:rStyle w:val="Hyperlink"/>
          </w:rPr>
          <w:t>https://www.gov.uk/government/publications/beis-electricity-generation-costs-2020</w:t>
        </w:r>
      </w:hyperlink>
    </w:p>
    <w:p w14:paraId="73DCEBA8" w14:textId="77777777" w:rsidR="00B046E1" w:rsidRPr="007444B6" w:rsidRDefault="007444B6" w:rsidP="00282A95">
      <w:pPr>
        <w:rPr>
          <w:b/>
        </w:rPr>
      </w:pPr>
      <w:r w:rsidRPr="007444B6">
        <w:rPr>
          <w:b/>
        </w:rPr>
        <w:t>S</w:t>
      </w:r>
      <w:r w:rsidR="00B046E1" w:rsidRPr="007444B6">
        <w:rPr>
          <w:b/>
        </w:rPr>
        <w:t xml:space="preserve">ub-national electricity </w:t>
      </w:r>
      <w:r w:rsidRPr="007444B6">
        <w:rPr>
          <w:b/>
        </w:rPr>
        <w:t>consumption data</w:t>
      </w:r>
    </w:p>
    <w:p w14:paraId="73DCEBA9" w14:textId="77777777" w:rsidR="007444B6" w:rsidRDefault="00C66BAC" w:rsidP="00282A95">
      <w:hyperlink r:id="rId12" w:history="1">
        <w:r w:rsidR="007444B6" w:rsidRPr="007444B6">
          <w:rPr>
            <w:rStyle w:val="Hyperlink"/>
          </w:rPr>
          <w:t>https://www.gov.uk/government/collections/sub-national-electricity-consumption-data</w:t>
        </w:r>
      </w:hyperlink>
    </w:p>
    <w:p w14:paraId="73DCEBAA" w14:textId="77777777" w:rsidR="007444B6" w:rsidRPr="007444B6" w:rsidRDefault="007444B6" w:rsidP="007444B6">
      <w:pPr>
        <w:rPr>
          <w:b/>
        </w:rPr>
      </w:pPr>
      <w:r w:rsidRPr="007444B6">
        <w:rPr>
          <w:b/>
        </w:rPr>
        <w:t xml:space="preserve">Sub-national </w:t>
      </w:r>
      <w:r>
        <w:rPr>
          <w:b/>
        </w:rPr>
        <w:t>gas</w:t>
      </w:r>
      <w:r w:rsidRPr="007444B6">
        <w:rPr>
          <w:b/>
        </w:rPr>
        <w:t xml:space="preserve"> consumption data</w:t>
      </w:r>
    </w:p>
    <w:p w14:paraId="73DCEBAB" w14:textId="77777777" w:rsidR="007444B6" w:rsidRDefault="00C66BAC" w:rsidP="00282A95">
      <w:hyperlink r:id="rId13" w:history="1">
        <w:r w:rsidR="007444B6" w:rsidRPr="007444B6">
          <w:rPr>
            <w:rStyle w:val="Hyperlink"/>
          </w:rPr>
          <w:t>https://www.gov.uk/government/collections/sub-national-gas-consumption-data</w:t>
        </w:r>
      </w:hyperlink>
    </w:p>
    <w:p w14:paraId="73DCEBAC" w14:textId="77777777" w:rsidR="007444B6" w:rsidRDefault="007444B6" w:rsidP="007444B6">
      <w:pPr>
        <w:rPr>
          <w:b/>
        </w:rPr>
      </w:pPr>
      <w:r w:rsidRPr="007444B6">
        <w:rPr>
          <w:b/>
        </w:rPr>
        <w:t>Load factors for renewable electricity generation (DUKES 6.5)</w:t>
      </w:r>
    </w:p>
    <w:p w14:paraId="73DCEBAD" w14:textId="77777777" w:rsidR="007444B6" w:rsidRDefault="00C66BAC" w:rsidP="007444B6">
      <w:hyperlink r:id="rId14" w:history="1">
        <w:r w:rsidR="007444B6" w:rsidRPr="007444B6">
          <w:rPr>
            <w:rStyle w:val="Hyperlink"/>
          </w:rPr>
          <w:t>https://www.gov.uk/government/statistics/renewable-sources-of-energy-chapter-6-digest-of-united-kingdom-energy-statistics-dukes</w:t>
        </w:r>
      </w:hyperlink>
    </w:p>
    <w:sectPr w:rsidR="007444B6">
      <w:headerReference w:type="defaul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D9B0A4" w14:textId="77777777" w:rsidR="000C1CA3" w:rsidRDefault="000C1CA3" w:rsidP="000C1CA3">
      <w:pPr>
        <w:spacing w:after="0" w:line="240" w:lineRule="auto"/>
      </w:pPr>
      <w:r>
        <w:separator/>
      </w:r>
    </w:p>
  </w:endnote>
  <w:endnote w:type="continuationSeparator" w:id="0">
    <w:p w14:paraId="23170975" w14:textId="77777777" w:rsidR="000C1CA3" w:rsidRDefault="000C1CA3" w:rsidP="000C1C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C4EF73" w14:textId="77777777" w:rsidR="000C1CA3" w:rsidRDefault="000C1CA3" w:rsidP="000C1CA3">
      <w:pPr>
        <w:spacing w:after="0" w:line="240" w:lineRule="auto"/>
      </w:pPr>
      <w:r>
        <w:separator/>
      </w:r>
    </w:p>
  </w:footnote>
  <w:footnote w:type="continuationSeparator" w:id="0">
    <w:p w14:paraId="00AE8FDF" w14:textId="77777777" w:rsidR="000C1CA3" w:rsidRDefault="000C1CA3" w:rsidP="000C1C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FDD69" w14:textId="4B269076" w:rsidR="000C1CA3" w:rsidRDefault="000C1CA3">
    <w:pPr>
      <w:pStyle w:val="Header"/>
    </w:pPr>
    <w:r>
      <w:rPr>
        <w:noProof/>
      </w:rPr>
      <w:drawing>
        <wp:anchor distT="0" distB="0" distL="114300" distR="114300" simplePos="0" relativeHeight="251659264" behindDoc="0" locked="0" layoutInCell="1" allowOverlap="1" wp14:anchorId="609B9A06" wp14:editId="2180E1C6">
          <wp:simplePos x="0" y="0"/>
          <wp:positionH relativeFrom="margin">
            <wp:align>right</wp:align>
          </wp:positionH>
          <wp:positionV relativeFrom="paragraph">
            <wp:posOffset>-306279</wp:posOffset>
          </wp:positionV>
          <wp:extent cx="1423670" cy="770255"/>
          <wp:effectExtent l="0" t="0" r="0" b="0"/>
          <wp:wrapTopAndBottom/>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423670" cy="770255"/>
                  </a:xfrm>
                  <a:prstGeom prst="rect">
                    <a:avLst/>
                  </a:prstGeom>
                </pic:spPr>
              </pic:pic>
            </a:graphicData>
          </a:graphic>
        </wp:anchor>
      </w:drawing>
    </w:r>
    <w:r>
      <w:rPr>
        <w:noProof/>
      </w:rPr>
      <w:drawing>
        <wp:anchor distT="0" distB="0" distL="114300" distR="114300" simplePos="0" relativeHeight="251658240" behindDoc="0" locked="0" layoutInCell="1" allowOverlap="1" wp14:anchorId="171EA78F" wp14:editId="1D8883A1">
          <wp:simplePos x="0" y="0"/>
          <wp:positionH relativeFrom="margin">
            <wp:align>left</wp:align>
          </wp:positionH>
          <wp:positionV relativeFrom="paragraph">
            <wp:posOffset>-306440</wp:posOffset>
          </wp:positionV>
          <wp:extent cx="703951" cy="770400"/>
          <wp:effectExtent l="0" t="0" r="0" b="0"/>
          <wp:wrapTopAndBottom/>
          <wp:docPr id="1" name="Picture 1" descr="Logo&#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with medium confidence"/>
                  <pic:cNvPicPr/>
                </pic:nvPicPr>
                <pic:blipFill>
                  <a:blip r:embed="rId2">
                    <a:extLst>
                      <a:ext uri="{28A0092B-C50C-407E-A947-70E740481C1C}">
                        <a14:useLocalDpi xmlns:a14="http://schemas.microsoft.com/office/drawing/2010/main" val="0"/>
                      </a:ext>
                    </a:extLst>
                  </a:blip>
                  <a:stretch>
                    <a:fillRect/>
                  </a:stretch>
                </pic:blipFill>
                <pic:spPr>
                  <a:xfrm>
                    <a:off x="0" y="0"/>
                    <a:ext cx="703951" cy="7704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3066B"/>
    <w:multiLevelType w:val="hybridMultilevel"/>
    <w:tmpl w:val="846A47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15956B6"/>
    <w:multiLevelType w:val="hybridMultilevel"/>
    <w:tmpl w:val="AB14B7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B8E7CB9"/>
    <w:multiLevelType w:val="hybridMultilevel"/>
    <w:tmpl w:val="501E0A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5520EEB"/>
    <w:multiLevelType w:val="hybridMultilevel"/>
    <w:tmpl w:val="0AEC68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07344852">
    <w:abstractNumId w:val="0"/>
  </w:num>
  <w:num w:numId="2" w16cid:durableId="1541279978">
    <w:abstractNumId w:val="3"/>
  </w:num>
  <w:num w:numId="3" w16cid:durableId="1639187930">
    <w:abstractNumId w:val="1"/>
  </w:num>
  <w:num w:numId="4" w16cid:durableId="2236838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ctiveWritingStyle w:appName="MSWord" w:lang="en-GB" w:vendorID="64" w:dllVersion="0" w:nlCheck="1" w:checkStyle="1"/>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03A4"/>
    <w:rsid w:val="00012A59"/>
    <w:rsid w:val="00012D7E"/>
    <w:rsid w:val="000431BB"/>
    <w:rsid w:val="00051BCD"/>
    <w:rsid w:val="000550AA"/>
    <w:rsid w:val="0006751D"/>
    <w:rsid w:val="00082A96"/>
    <w:rsid w:val="00085419"/>
    <w:rsid w:val="000A56E6"/>
    <w:rsid w:val="000B51A5"/>
    <w:rsid w:val="000C1CA3"/>
    <w:rsid w:val="000D5631"/>
    <w:rsid w:val="000E0EB3"/>
    <w:rsid w:val="000E51B2"/>
    <w:rsid w:val="000E5CC9"/>
    <w:rsid w:val="000E6EDB"/>
    <w:rsid w:val="000F2D78"/>
    <w:rsid w:val="000F32A5"/>
    <w:rsid w:val="00101A2A"/>
    <w:rsid w:val="00110205"/>
    <w:rsid w:val="001154FC"/>
    <w:rsid w:val="001333AD"/>
    <w:rsid w:val="00145254"/>
    <w:rsid w:val="00156442"/>
    <w:rsid w:val="001571D0"/>
    <w:rsid w:val="001577C2"/>
    <w:rsid w:val="001577DA"/>
    <w:rsid w:val="00164BFB"/>
    <w:rsid w:val="001C2609"/>
    <w:rsid w:val="001E1AC1"/>
    <w:rsid w:val="001F5F50"/>
    <w:rsid w:val="00200F84"/>
    <w:rsid w:val="002452EA"/>
    <w:rsid w:val="00282A95"/>
    <w:rsid w:val="00292211"/>
    <w:rsid w:val="00293922"/>
    <w:rsid w:val="002A1730"/>
    <w:rsid w:val="002B4E3B"/>
    <w:rsid w:val="002C68F3"/>
    <w:rsid w:val="002C7B16"/>
    <w:rsid w:val="002E5BBD"/>
    <w:rsid w:val="00312F9D"/>
    <w:rsid w:val="00317D6E"/>
    <w:rsid w:val="00351D25"/>
    <w:rsid w:val="003529BE"/>
    <w:rsid w:val="00362C2E"/>
    <w:rsid w:val="00370BF7"/>
    <w:rsid w:val="00382D75"/>
    <w:rsid w:val="003903A4"/>
    <w:rsid w:val="003B0314"/>
    <w:rsid w:val="003B0355"/>
    <w:rsid w:val="003D1D0F"/>
    <w:rsid w:val="003D3EE3"/>
    <w:rsid w:val="003F2552"/>
    <w:rsid w:val="00401FCA"/>
    <w:rsid w:val="00411F99"/>
    <w:rsid w:val="004237AC"/>
    <w:rsid w:val="00433688"/>
    <w:rsid w:val="004339E9"/>
    <w:rsid w:val="00440B4D"/>
    <w:rsid w:val="00451F33"/>
    <w:rsid w:val="004627D4"/>
    <w:rsid w:val="00470418"/>
    <w:rsid w:val="004861A4"/>
    <w:rsid w:val="00492B62"/>
    <w:rsid w:val="004C495A"/>
    <w:rsid w:val="004F2AF5"/>
    <w:rsid w:val="005075E7"/>
    <w:rsid w:val="0051141F"/>
    <w:rsid w:val="00511577"/>
    <w:rsid w:val="00515FEC"/>
    <w:rsid w:val="00532BDC"/>
    <w:rsid w:val="005427BF"/>
    <w:rsid w:val="00545891"/>
    <w:rsid w:val="00592602"/>
    <w:rsid w:val="00594195"/>
    <w:rsid w:val="005E0842"/>
    <w:rsid w:val="005E698F"/>
    <w:rsid w:val="005F300A"/>
    <w:rsid w:val="005F4882"/>
    <w:rsid w:val="00602D9D"/>
    <w:rsid w:val="006075E3"/>
    <w:rsid w:val="00632AD7"/>
    <w:rsid w:val="00634E46"/>
    <w:rsid w:val="00636B38"/>
    <w:rsid w:val="0065038D"/>
    <w:rsid w:val="00663AF1"/>
    <w:rsid w:val="00674C65"/>
    <w:rsid w:val="00690218"/>
    <w:rsid w:val="006A5472"/>
    <w:rsid w:val="006B3FE1"/>
    <w:rsid w:val="006E1927"/>
    <w:rsid w:val="006F41C4"/>
    <w:rsid w:val="0072531D"/>
    <w:rsid w:val="00741D02"/>
    <w:rsid w:val="00741E82"/>
    <w:rsid w:val="0074306D"/>
    <w:rsid w:val="007444B6"/>
    <w:rsid w:val="007539B1"/>
    <w:rsid w:val="00760660"/>
    <w:rsid w:val="00786C14"/>
    <w:rsid w:val="007902AC"/>
    <w:rsid w:val="007C0F02"/>
    <w:rsid w:val="007D2DDB"/>
    <w:rsid w:val="007D2EF8"/>
    <w:rsid w:val="007D3CCD"/>
    <w:rsid w:val="007E6AE9"/>
    <w:rsid w:val="007F63D5"/>
    <w:rsid w:val="00812B2D"/>
    <w:rsid w:val="008270FC"/>
    <w:rsid w:val="0083543D"/>
    <w:rsid w:val="00871FA7"/>
    <w:rsid w:val="008958FB"/>
    <w:rsid w:val="008B1708"/>
    <w:rsid w:val="008B3B2A"/>
    <w:rsid w:val="008E249E"/>
    <w:rsid w:val="008E3473"/>
    <w:rsid w:val="008F1D4D"/>
    <w:rsid w:val="008F2866"/>
    <w:rsid w:val="00904841"/>
    <w:rsid w:val="009072BA"/>
    <w:rsid w:val="009129F7"/>
    <w:rsid w:val="00926311"/>
    <w:rsid w:val="00926E6B"/>
    <w:rsid w:val="00933F25"/>
    <w:rsid w:val="00944C4F"/>
    <w:rsid w:val="0095564A"/>
    <w:rsid w:val="00976E73"/>
    <w:rsid w:val="00985F65"/>
    <w:rsid w:val="00986A19"/>
    <w:rsid w:val="00995F99"/>
    <w:rsid w:val="009A7411"/>
    <w:rsid w:val="009B78AF"/>
    <w:rsid w:val="00A06E3D"/>
    <w:rsid w:val="00A22C30"/>
    <w:rsid w:val="00A25B62"/>
    <w:rsid w:val="00A4680B"/>
    <w:rsid w:val="00A65C8B"/>
    <w:rsid w:val="00AB092E"/>
    <w:rsid w:val="00AB7569"/>
    <w:rsid w:val="00B046E1"/>
    <w:rsid w:val="00B26DD8"/>
    <w:rsid w:val="00B3773E"/>
    <w:rsid w:val="00B637BA"/>
    <w:rsid w:val="00B658E5"/>
    <w:rsid w:val="00BC5C5C"/>
    <w:rsid w:val="00BD7F83"/>
    <w:rsid w:val="00BE0F24"/>
    <w:rsid w:val="00BF3C1D"/>
    <w:rsid w:val="00C229E4"/>
    <w:rsid w:val="00C254C4"/>
    <w:rsid w:val="00C64D33"/>
    <w:rsid w:val="00C64F2C"/>
    <w:rsid w:val="00C66BAC"/>
    <w:rsid w:val="00C849B3"/>
    <w:rsid w:val="00C910A5"/>
    <w:rsid w:val="00C939F7"/>
    <w:rsid w:val="00CA6B40"/>
    <w:rsid w:val="00CB0BC9"/>
    <w:rsid w:val="00CC020C"/>
    <w:rsid w:val="00CC0389"/>
    <w:rsid w:val="00CC68BE"/>
    <w:rsid w:val="00CD5558"/>
    <w:rsid w:val="00D0355E"/>
    <w:rsid w:val="00D16FDA"/>
    <w:rsid w:val="00D20D14"/>
    <w:rsid w:val="00D31A80"/>
    <w:rsid w:val="00D433E8"/>
    <w:rsid w:val="00D4517E"/>
    <w:rsid w:val="00DB5030"/>
    <w:rsid w:val="00DB5E60"/>
    <w:rsid w:val="00DD32A4"/>
    <w:rsid w:val="00E018B6"/>
    <w:rsid w:val="00E27038"/>
    <w:rsid w:val="00E27BB6"/>
    <w:rsid w:val="00E47356"/>
    <w:rsid w:val="00E85FAE"/>
    <w:rsid w:val="00E96289"/>
    <w:rsid w:val="00EA430A"/>
    <w:rsid w:val="00EE72EC"/>
    <w:rsid w:val="00EF4193"/>
    <w:rsid w:val="00EF5368"/>
    <w:rsid w:val="00F05E41"/>
    <w:rsid w:val="00F06D34"/>
    <w:rsid w:val="00F256C9"/>
    <w:rsid w:val="00F26067"/>
    <w:rsid w:val="00F60DF6"/>
    <w:rsid w:val="00F71220"/>
    <w:rsid w:val="00F713AB"/>
    <w:rsid w:val="00F85F36"/>
    <w:rsid w:val="00FD017B"/>
    <w:rsid w:val="00FF28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3DCEB63"/>
  <w15:chartTrackingRefBased/>
  <w15:docId w15:val="{DD2316FD-5DBD-48C6-8392-A47309F84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12D7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54589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3903A4"/>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903A4"/>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012D7E"/>
    <w:rPr>
      <w:rFonts w:asciiTheme="majorHAnsi" w:eastAsiaTheme="majorEastAsia" w:hAnsiTheme="majorHAnsi" w:cstheme="majorBidi"/>
      <w:color w:val="2E74B5" w:themeColor="accent1" w:themeShade="BF"/>
      <w:sz w:val="32"/>
      <w:szCs w:val="32"/>
    </w:rPr>
  </w:style>
  <w:style w:type="paragraph" w:styleId="ListParagraph">
    <w:name w:val="List Paragraph"/>
    <w:basedOn w:val="Normal"/>
    <w:uiPriority w:val="34"/>
    <w:qFormat/>
    <w:rsid w:val="00012D7E"/>
    <w:pPr>
      <w:ind w:left="720"/>
      <w:contextualSpacing/>
    </w:pPr>
  </w:style>
  <w:style w:type="character" w:customStyle="1" w:styleId="Heading2Char">
    <w:name w:val="Heading 2 Char"/>
    <w:basedOn w:val="DefaultParagraphFont"/>
    <w:link w:val="Heading2"/>
    <w:uiPriority w:val="9"/>
    <w:rsid w:val="00545891"/>
    <w:rPr>
      <w:rFonts w:asciiTheme="majorHAnsi" w:eastAsiaTheme="majorEastAsia" w:hAnsiTheme="majorHAnsi" w:cstheme="majorBidi"/>
      <w:color w:val="2E74B5" w:themeColor="accent1" w:themeShade="BF"/>
      <w:sz w:val="26"/>
      <w:szCs w:val="26"/>
    </w:rPr>
  </w:style>
  <w:style w:type="character" w:styleId="PlaceholderText">
    <w:name w:val="Placeholder Text"/>
    <w:basedOn w:val="DefaultParagraphFont"/>
    <w:uiPriority w:val="99"/>
    <w:semiHidden/>
    <w:rsid w:val="00451F33"/>
    <w:rPr>
      <w:color w:val="808080"/>
    </w:rPr>
  </w:style>
  <w:style w:type="character" w:styleId="Hyperlink">
    <w:name w:val="Hyperlink"/>
    <w:basedOn w:val="DefaultParagraphFont"/>
    <w:uiPriority w:val="99"/>
    <w:unhideWhenUsed/>
    <w:rsid w:val="00D16FDA"/>
    <w:rPr>
      <w:color w:val="0563C1" w:themeColor="hyperlink"/>
      <w:u w:val="single"/>
    </w:rPr>
  </w:style>
  <w:style w:type="character" w:styleId="UnresolvedMention">
    <w:name w:val="Unresolved Mention"/>
    <w:basedOn w:val="DefaultParagraphFont"/>
    <w:uiPriority w:val="99"/>
    <w:semiHidden/>
    <w:unhideWhenUsed/>
    <w:rsid w:val="008E3473"/>
    <w:rPr>
      <w:color w:val="605E5C"/>
      <w:shd w:val="clear" w:color="auto" w:fill="E1DFDD"/>
    </w:rPr>
  </w:style>
  <w:style w:type="paragraph" w:styleId="Header">
    <w:name w:val="header"/>
    <w:basedOn w:val="Normal"/>
    <w:link w:val="HeaderChar"/>
    <w:uiPriority w:val="99"/>
    <w:unhideWhenUsed/>
    <w:rsid w:val="000C1CA3"/>
    <w:pPr>
      <w:tabs>
        <w:tab w:val="center" w:pos="4513"/>
        <w:tab w:val="right" w:pos="9026"/>
      </w:tabs>
      <w:spacing w:after="0" w:line="240" w:lineRule="auto"/>
    </w:pPr>
  </w:style>
  <w:style w:type="character" w:customStyle="1" w:styleId="HeaderChar">
    <w:name w:val="Header Char"/>
    <w:basedOn w:val="DefaultParagraphFont"/>
    <w:link w:val="Header"/>
    <w:uiPriority w:val="99"/>
    <w:rsid w:val="000C1CA3"/>
  </w:style>
  <w:style w:type="paragraph" w:styleId="Footer">
    <w:name w:val="footer"/>
    <w:basedOn w:val="Normal"/>
    <w:link w:val="FooterChar"/>
    <w:uiPriority w:val="99"/>
    <w:unhideWhenUsed/>
    <w:rsid w:val="000C1CA3"/>
    <w:pPr>
      <w:tabs>
        <w:tab w:val="center" w:pos="4513"/>
        <w:tab w:val="right" w:pos="9026"/>
      </w:tabs>
      <w:spacing w:after="0" w:line="240" w:lineRule="auto"/>
    </w:pPr>
  </w:style>
  <w:style w:type="character" w:customStyle="1" w:styleId="FooterChar">
    <w:name w:val="Footer Char"/>
    <w:basedOn w:val="DefaultParagraphFont"/>
    <w:link w:val="Footer"/>
    <w:uiPriority w:val="99"/>
    <w:rsid w:val="000C1C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misweb.co.uk/reports/localarea" TargetMode="External"/><Relationship Id="rId13" Type="http://schemas.openxmlformats.org/officeDocument/2006/relationships/hyperlink" Target="https://www.gov.uk/government/collections/sub-national-gas-consumption-dat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gov.uk/government/collections/sub-national-electricity-consumption-data"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uk/government/publications/beis-electricity-generation-costs-2020"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gov.uk/government/collections/government-conversion-factors-for-company-reporting"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www.gov.uk/government/statistics/renewable-sources-of-energy-chapter-6-digest-of-united-kingdom-energy-statistics-dukes"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1E5E06F8-64B4-46A5-9EF7-D0FF5C2C70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1600</Words>
  <Characters>9123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ADT Systems</Company>
  <LinksUpToDate>false</LinksUpToDate>
  <CharactersWithSpaces>10702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 Homan</dc:creator>
  <cp:keywords/>
  <dc:description/>
  <cp:lastModifiedBy>Leah Bromley</cp:lastModifiedBy>
  <cp:revision>4</cp:revision>
  <dcterms:created xsi:type="dcterms:W3CDTF">2022-11-11T09:44:00Z</dcterms:created>
  <dcterms:modified xsi:type="dcterms:W3CDTF">2022-11-16T10:28:00Z</dcterms:modified>
</cp:coreProperties>
</file>